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D512A2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1. </w:t>
      </w:r>
      <w:r w:rsidR="00D512A2" w:rsidRPr="00D512A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Терапевт</w:t>
      </w:r>
      <w:r w:rsidR="00C447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/препода</w:t>
      </w:r>
      <w:r w:rsidR="00D512A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ватель/</w:t>
      </w:r>
      <w:r w:rsidR="00D10A9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-4 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2. Акушер-гин</w:t>
      </w:r>
      <w:r w:rsidR="00D10A9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еколог /преподаватель/-3 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3. Хирург/преподаватель/-4 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4. Педиатр /преподаватель/-3 </w:t>
      </w:r>
    </w:p>
    <w:p w:rsidR="00B03823" w:rsidRDefault="008E14DD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5. Стоматолог /препода</w:t>
      </w:r>
      <w:r w:rsidR="00B03823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ватель/-3 </w:t>
      </w:r>
    </w:p>
    <w:p w:rsidR="00D512A2" w:rsidRPr="00D512A2" w:rsidRDefault="00D512A2" w:rsidP="00D51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93125C" w:rsidRPr="0093125C" w:rsidRDefault="0093125C" w:rsidP="00B038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580FE4">
        <w:fldChar w:fldCharType="begin"/>
      </w:r>
      <w:r w:rsidR="001A5A44">
        <w:instrText>HYPERLINK "mailto:medkollege-shm@mail.ru"</w:instrText>
      </w:r>
      <w:r w:rsidR="00580FE4">
        <w:fldChar w:fldCharType="separate"/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580FE4"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1 сентября н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 2022-2023 учебный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5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77 867 тенге – 93 971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6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93125C" w:rsidRPr="00EB09D5" w:rsidRDefault="007A311E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Контроль материально-технического, библиотечно-информационного и методического обеспечения по преподоваемым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>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0F2D5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№110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AD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9D4"/>
    <w:rsid w:val="000F2D54"/>
    <w:rsid w:val="001A5A44"/>
    <w:rsid w:val="002F43B1"/>
    <w:rsid w:val="003037F2"/>
    <w:rsid w:val="003F6C29"/>
    <w:rsid w:val="005300AA"/>
    <w:rsid w:val="00580FE4"/>
    <w:rsid w:val="007707FB"/>
    <w:rsid w:val="007A311E"/>
    <w:rsid w:val="008E14DD"/>
    <w:rsid w:val="0093125C"/>
    <w:rsid w:val="00940D9A"/>
    <w:rsid w:val="00A91355"/>
    <w:rsid w:val="00AB31D0"/>
    <w:rsid w:val="00AD1D1A"/>
    <w:rsid w:val="00B03823"/>
    <w:rsid w:val="00C1042E"/>
    <w:rsid w:val="00C141D1"/>
    <w:rsid w:val="00C214C5"/>
    <w:rsid w:val="00C44750"/>
    <w:rsid w:val="00D10A90"/>
    <w:rsid w:val="00D512A2"/>
    <w:rsid w:val="00E776A0"/>
    <w:rsid w:val="00EB09D5"/>
    <w:rsid w:val="00ED49D4"/>
    <w:rsid w:val="00F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A"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://adilet.zan.kz/rus/docs/U15000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2022-08-10T11:32:00Z</cp:lastPrinted>
  <dcterms:created xsi:type="dcterms:W3CDTF">2022-08-10T09:41:00Z</dcterms:created>
  <dcterms:modified xsi:type="dcterms:W3CDTF">2022-08-12T10:13:00Z</dcterms:modified>
</cp:coreProperties>
</file>